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8F0F" w14:textId="12D08704" w:rsidR="00A5163C" w:rsidRDefault="00B379DA" w:rsidP="00A5163C">
      <w:pPr>
        <w:rPr>
          <w:b/>
          <w:bCs/>
        </w:rPr>
      </w:pPr>
      <w:r>
        <w:rPr>
          <w:b/>
          <w:bCs/>
        </w:rPr>
        <w:t>Onderhandel</w:t>
      </w:r>
      <w:r w:rsidR="00C32C5A">
        <w:rPr>
          <w:b/>
          <w:bCs/>
        </w:rPr>
        <w:t>ings</w:t>
      </w:r>
      <w:r>
        <w:rPr>
          <w:b/>
          <w:bCs/>
        </w:rPr>
        <w:t>resultaat</w:t>
      </w:r>
    </w:p>
    <w:p w14:paraId="7B23332C" w14:textId="1EECDB1F" w:rsidR="00B11FB0" w:rsidRDefault="00C32C5A" w:rsidP="00A5163C">
      <w:pPr>
        <w:rPr>
          <w:b/>
          <w:bCs/>
        </w:rPr>
      </w:pPr>
      <w:r>
        <w:rPr>
          <w:b/>
          <w:bCs/>
        </w:rPr>
        <w:t>O</w:t>
      </w:r>
      <w:r w:rsidR="001F0131">
        <w:rPr>
          <w:b/>
          <w:bCs/>
        </w:rPr>
        <w:t xml:space="preserve">p </w:t>
      </w:r>
      <w:r>
        <w:rPr>
          <w:b/>
          <w:bCs/>
        </w:rPr>
        <w:t>13</w:t>
      </w:r>
      <w:r w:rsidR="001F0131">
        <w:rPr>
          <w:b/>
          <w:bCs/>
        </w:rPr>
        <w:t xml:space="preserve"> januari 2025 zij</w:t>
      </w:r>
      <w:r w:rsidR="00FF0107">
        <w:rPr>
          <w:b/>
          <w:bCs/>
        </w:rPr>
        <w:t>n</w:t>
      </w:r>
      <w:r w:rsidR="001F0131">
        <w:rPr>
          <w:b/>
          <w:bCs/>
        </w:rPr>
        <w:t xml:space="preserve"> cao partijen </w:t>
      </w:r>
      <w:r w:rsidR="00FF0107">
        <w:rPr>
          <w:b/>
          <w:bCs/>
        </w:rPr>
        <w:t xml:space="preserve"> (BNA, De Unie, FNV en CNV) het volgende  overeengekomen: </w:t>
      </w:r>
    </w:p>
    <w:p w14:paraId="644FF6DA" w14:textId="77777777" w:rsidR="00FF0107" w:rsidRDefault="00FF0107" w:rsidP="00A5163C">
      <w:pPr>
        <w:rPr>
          <w:b/>
          <w:bCs/>
        </w:rPr>
      </w:pPr>
    </w:p>
    <w:p w14:paraId="3A9491EC" w14:textId="77777777" w:rsidR="00B11FB0" w:rsidRPr="00A5163C" w:rsidRDefault="00B11FB0" w:rsidP="00B11FB0">
      <w:pPr>
        <w:rPr>
          <w:u w:val="single"/>
        </w:rPr>
      </w:pPr>
      <w:r w:rsidRPr="00A5163C">
        <w:rPr>
          <w:u w:val="single"/>
        </w:rPr>
        <w:t xml:space="preserve">In de </w:t>
      </w:r>
      <w:r w:rsidRPr="00A5163C">
        <w:rPr>
          <w:b/>
          <w:bCs/>
          <w:u w:val="single"/>
        </w:rPr>
        <w:t>Cao</w:t>
      </w:r>
      <w:r w:rsidRPr="00A5163C">
        <w:rPr>
          <w:u w:val="single"/>
        </w:rPr>
        <w:t xml:space="preserve"> wordt opgenomen: </w:t>
      </w:r>
    </w:p>
    <w:p w14:paraId="223C0446" w14:textId="77777777" w:rsidR="00A5163C" w:rsidRPr="00A5163C" w:rsidRDefault="00A5163C" w:rsidP="00A5163C">
      <w:pPr>
        <w:numPr>
          <w:ilvl w:val="0"/>
          <w:numId w:val="1"/>
        </w:numPr>
      </w:pPr>
      <w:r w:rsidRPr="00A5163C">
        <w:t>De looptijd van de cao wordt 18 maanden: van 1 januari 2025 tot 1 juli 2026.</w:t>
      </w:r>
    </w:p>
    <w:p w14:paraId="737CB264" w14:textId="77777777" w:rsidR="00A5163C" w:rsidRPr="00A5163C" w:rsidRDefault="00A5163C" w:rsidP="00A5163C">
      <w:pPr>
        <w:numPr>
          <w:ilvl w:val="0"/>
          <w:numId w:val="1"/>
        </w:numPr>
      </w:pPr>
      <w:r w:rsidRPr="00A5163C">
        <w:t xml:space="preserve">Per 1 april 2025 en  per 1  januari 2026 is er sprake van een salarisverhoging van 3,5%. </w:t>
      </w:r>
    </w:p>
    <w:p w14:paraId="11D492AD" w14:textId="77777777" w:rsidR="00A5163C" w:rsidRPr="00A5163C" w:rsidRDefault="00A5163C" w:rsidP="00A5163C">
      <w:pPr>
        <w:numPr>
          <w:ilvl w:val="0"/>
          <w:numId w:val="1"/>
        </w:numPr>
      </w:pPr>
      <w:r w:rsidRPr="00A5163C">
        <w:t>Cao partijen willen dat de bijdrage vanuit de SFA aan CAO partijen wordt verhoogd tot EUR 10.000 per vakbond per jaar en tot EUR 30.000 per jaar aan de BNA. Het besluit daartoe moet genomen worden door het AB van het SFA, waarbij de middelen van de SFA voldoende toereikend moeten zijn.</w:t>
      </w:r>
    </w:p>
    <w:p w14:paraId="3EB54E40" w14:textId="10349DCF" w:rsidR="00A5163C" w:rsidRPr="00A5163C" w:rsidRDefault="00A5163C" w:rsidP="00A5163C">
      <w:pPr>
        <w:numPr>
          <w:ilvl w:val="0"/>
          <w:numId w:val="1"/>
        </w:numPr>
      </w:pPr>
      <w:r w:rsidRPr="00A5163C">
        <w:t xml:space="preserve">De pensioenpremie per 1/1/2026 wordt gelijkgesteld aan de kostendekkende premie voor 2026, welke medio 2025 wordt </w:t>
      </w:r>
      <w:r w:rsidR="00B11FB0">
        <w:t xml:space="preserve">berekend </w:t>
      </w:r>
      <w:r w:rsidRPr="00A5163C">
        <w:t xml:space="preserve"> door het Pensioenfonds.</w:t>
      </w:r>
    </w:p>
    <w:p w14:paraId="4C87B960" w14:textId="6CB69737" w:rsidR="00A5163C" w:rsidRPr="00A5163C" w:rsidRDefault="000E0DBC" w:rsidP="00A5163C">
      <w:pPr>
        <w:numPr>
          <w:ilvl w:val="0"/>
          <w:numId w:val="1"/>
        </w:numPr>
      </w:pPr>
      <w:r>
        <w:t>W</w:t>
      </w:r>
      <w:r w:rsidR="00A5163C" w:rsidRPr="00A5163C">
        <w:t xml:space="preserve">erknemers </w:t>
      </w:r>
      <w:r>
        <w:t xml:space="preserve">hebben </w:t>
      </w:r>
      <w:r w:rsidR="00A5163C" w:rsidRPr="00A5163C">
        <w:t xml:space="preserve">recht bijzonder (buitengewoon) verlof in geval van verhuizing. Maximaal eenmaal per drie jaar kan hiervoor bij verhuizing één werkdag worden opgenomen. </w:t>
      </w:r>
    </w:p>
    <w:p w14:paraId="0DDF86B3" w14:textId="77777777" w:rsidR="00A5163C" w:rsidRPr="00A5163C" w:rsidRDefault="00A5163C" w:rsidP="00A5163C">
      <w:pPr>
        <w:numPr>
          <w:ilvl w:val="0"/>
          <w:numId w:val="1"/>
        </w:numPr>
      </w:pPr>
      <w:r w:rsidRPr="00A5163C">
        <w:t xml:space="preserve">In lustrumjaren geldt 5 mei als een erkende feestdag waarbij de werknemer recht heeft op betaald verlof. In de niet-lustrumjaren is dit (nog) niet het geval, maar er is afgesproken dat de CAO voor Architectenbureaus hierin de CAO Bouw en Infra zal volgen. Wanneer er in de CAO Bouw en Infra wordt afgesproken dat 5 mei een erkende feestdag is met betaald verlof, dan zal dit ook in de eerstvolgende CAO voor Architectenbureaus worden opgenomen.  </w:t>
      </w:r>
    </w:p>
    <w:p w14:paraId="533F26F1" w14:textId="3CDDC078" w:rsidR="00A5163C" w:rsidRDefault="00A5163C" w:rsidP="00ED7672">
      <w:pPr>
        <w:numPr>
          <w:ilvl w:val="0"/>
          <w:numId w:val="1"/>
        </w:numPr>
      </w:pPr>
      <w:r w:rsidRPr="00A5163C">
        <w:t xml:space="preserve">In de cao zal geen verplichting  voor werkgevers voor het inschakelen van een vertrouwenspersoon worden opgenomen, maar wel een recht van werknemers om zich tot een </w:t>
      </w:r>
      <w:r w:rsidR="00B60EA8">
        <w:t xml:space="preserve">onafhankelijk en </w:t>
      </w:r>
      <w:r w:rsidR="00DB0533">
        <w:t>deskundig</w:t>
      </w:r>
      <w:r w:rsidR="00B60EA8">
        <w:t xml:space="preserve"> </w:t>
      </w:r>
      <w:r w:rsidRPr="00A5163C">
        <w:t xml:space="preserve">vertrouwenspersoon te wenden.  </w:t>
      </w:r>
      <w:r w:rsidR="006D5EB9">
        <w:t>(</w:t>
      </w:r>
      <w:r w:rsidR="00DB0533">
        <w:t xml:space="preserve">In de toelichting bij de cao zal </w:t>
      </w:r>
      <w:r w:rsidR="00493FC9">
        <w:t>daarnaast</w:t>
      </w:r>
      <w:r w:rsidR="00DB0533">
        <w:t xml:space="preserve"> worden opgenomen dat de werkgever de werkne</w:t>
      </w:r>
      <w:r w:rsidR="00493FC9">
        <w:t xml:space="preserve">mers </w:t>
      </w:r>
      <w:r w:rsidR="00087F56">
        <w:t>informeert inzake hun recht om zich to</w:t>
      </w:r>
      <w:r w:rsidR="006D5EB9">
        <w:t>t</w:t>
      </w:r>
      <w:r w:rsidR="00087F56">
        <w:t xml:space="preserve"> e</w:t>
      </w:r>
      <w:r w:rsidR="006D5EB9">
        <w:t>e</w:t>
      </w:r>
      <w:r w:rsidR="00087F56">
        <w:t>n vertro</w:t>
      </w:r>
      <w:r w:rsidR="006D5EB9">
        <w:t>u</w:t>
      </w:r>
      <w:r w:rsidR="00087F56">
        <w:t>wenspersoo</w:t>
      </w:r>
      <w:r w:rsidR="006D5EB9">
        <w:t>n</w:t>
      </w:r>
      <w:r w:rsidR="00087F56">
        <w:t xml:space="preserve"> te wen</w:t>
      </w:r>
      <w:r w:rsidR="00AC3877">
        <w:t>den</w:t>
      </w:r>
      <w:r w:rsidR="00087F56">
        <w:t>.</w:t>
      </w:r>
      <w:r w:rsidR="00AC3877">
        <w:t xml:space="preserve"> </w:t>
      </w:r>
      <w:r w:rsidR="00087F56">
        <w:t xml:space="preserve"> Als de werkgever zelf over een deskundige </w:t>
      </w:r>
      <w:r w:rsidR="006D5EB9">
        <w:t>vertrouwenspersoon</w:t>
      </w:r>
      <w:r w:rsidR="00087F56">
        <w:t xml:space="preserve"> </w:t>
      </w:r>
      <w:r w:rsidR="006D5EB9">
        <w:t>beschikt</w:t>
      </w:r>
      <w:r w:rsidR="00087F56">
        <w:t xml:space="preserve">, </w:t>
      </w:r>
      <w:r w:rsidR="006D5EB9">
        <w:t>w</w:t>
      </w:r>
      <w:r w:rsidR="00AC3877">
        <w:t xml:space="preserve">endt de </w:t>
      </w:r>
      <w:r w:rsidR="006D5EB9">
        <w:t>werknemer</w:t>
      </w:r>
      <w:r w:rsidR="00AC3877">
        <w:t xml:space="preserve"> z</w:t>
      </w:r>
      <w:r w:rsidR="00CA4B4A">
        <w:t>i</w:t>
      </w:r>
      <w:r w:rsidR="00AC3877">
        <w:t>ch tot deze vertrouwensper</w:t>
      </w:r>
      <w:r w:rsidR="00CA4B4A">
        <w:t>s</w:t>
      </w:r>
      <w:r w:rsidR="00AC3877">
        <w:t>oon</w:t>
      </w:r>
      <w:r w:rsidR="00CA4B4A">
        <w:t>.</w:t>
      </w:r>
      <w:r w:rsidR="00794FD2">
        <w:t xml:space="preserve"> Als dit niet het </w:t>
      </w:r>
      <w:proofErr w:type="spellStart"/>
      <w:r w:rsidR="00794FD2">
        <w:t>evl</w:t>
      </w:r>
      <w:proofErr w:type="spellEnd"/>
      <w:r w:rsidR="00794FD2">
        <w:t xml:space="preserve"> is, heeft werkne</w:t>
      </w:r>
      <w:r w:rsidR="00097EB7">
        <w:t xml:space="preserve">mer </w:t>
      </w:r>
      <w:r w:rsidR="00794FD2">
        <w:t>het recht zich op kosten van de werkgever tot e</w:t>
      </w:r>
      <w:r w:rsidR="00097EB7">
        <w:t>e</w:t>
      </w:r>
      <w:r w:rsidR="00794FD2">
        <w:t>n externe vertro</w:t>
      </w:r>
      <w:r w:rsidR="00097EB7">
        <w:t>u</w:t>
      </w:r>
      <w:r w:rsidR="00794FD2">
        <w:t xml:space="preserve">wenspersoon te </w:t>
      </w:r>
      <w:r w:rsidR="00097EB7">
        <w:t>wenden.</w:t>
      </w:r>
      <w:r w:rsidR="00794FD2">
        <w:t xml:space="preserve"> De werkgever kan hie</w:t>
      </w:r>
      <w:r w:rsidR="00097EB7">
        <w:t>rv</w:t>
      </w:r>
      <w:r w:rsidR="00794FD2">
        <w:t xml:space="preserve">oor </w:t>
      </w:r>
      <w:r w:rsidR="00BC51A6">
        <w:t xml:space="preserve">een </w:t>
      </w:r>
      <w:r w:rsidR="005D790F">
        <w:t>-</w:t>
      </w:r>
      <w:r w:rsidR="00BC51A6">
        <w:t xml:space="preserve">in </w:t>
      </w:r>
      <w:r w:rsidR="00097EB7">
        <w:t>opdracht</w:t>
      </w:r>
      <w:r w:rsidR="00BC51A6">
        <w:t xml:space="preserve"> van SFA voor de bra</w:t>
      </w:r>
      <w:r w:rsidR="00097EB7">
        <w:t xml:space="preserve">nche </w:t>
      </w:r>
      <w:r w:rsidR="00BC51A6">
        <w:t xml:space="preserve">ontwikkeld </w:t>
      </w:r>
      <w:r w:rsidR="005D790F">
        <w:t xml:space="preserve">- </w:t>
      </w:r>
      <w:r w:rsidR="00BC51A6">
        <w:t>abonnement afsluiten)</w:t>
      </w:r>
      <w:r w:rsidR="006E1253">
        <w:t>.</w:t>
      </w:r>
    </w:p>
    <w:p w14:paraId="67471BAA" w14:textId="0B43A1F1" w:rsidR="006E1253" w:rsidRPr="006E1253" w:rsidRDefault="006E1253" w:rsidP="006E1253">
      <w:pPr>
        <w:pStyle w:val="Lijstalinea"/>
        <w:numPr>
          <w:ilvl w:val="0"/>
          <w:numId w:val="1"/>
        </w:numPr>
        <w:rPr>
          <w:b/>
          <w:bCs/>
          <w:u w:val="single"/>
        </w:rPr>
      </w:pPr>
      <w:r w:rsidRPr="00A5163C">
        <w:t xml:space="preserve">De huidige cao kent twee bepalingen die op thuiswerken zien: artikel 12 lid 4 en artikel 27 lid 3 van de </w:t>
      </w:r>
      <w:r w:rsidR="00071BE0">
        <w:t>cao</w:t>
      </w:r>
      <w:r w:rsidRPr="00A5163C">
        <w:t xml:space="preserve">. Hierin staat geen recht van de werknemer tot thuiswerken, noch een plicht voor de werkgever tot het betalen van een thuiswerkvergoeding opgenomen.  </w:t>
      </w:r>
      <w:r>
        <w:t xml:space="preserve">Cao partijen </w:t>
      </w:r>
      <w:r w:rsidR="00071BE0">
        <w:t>hebben</w:t>
      </w:r>
      <w:r>
        <w:t xml:space="preserve"> </w:t>
      </w:r>
      <w:r w:rsidR="00071BE0">
        <w:t xml:space="preserve">afgesproken dat </w:t>
      </w:r>
      <w:r w:rsidR="00B43A3C">
        <w:t xml:space="preserve"> de werkgever  uit</w:t>
      </w:r>
      <w:r w:rsidR="00AC6980">
        <w:t xml:space="preserve">eindelijk </w:t>
      </w:r>
      <w:r w:rsidR="00B43A3C">
        <w:t>beslis</w:t>
      </w:r>
      <w:r w:rsidR="00AC6980">
        <w:t>t of een werknemer mag thuiswerken</w:t>
      </w:r>
      <w:r w:rsidR="007F630B">
        <w:t xml:space="preserve">, </w:t>
      </w:r>
      <w:r w:rsidR="00B43A3C">
        <w:t xml:space="preserve">maar indien werkgever akkoord gaat met thuiswerken, </w:t>
      </w:r>
      <w:r w:rsidR="005D790F">
        <w:t>zal werkne</w:t>
      </w:r>
      <w:r w:rsidR="00AC6980">
        <w:t>mer</w:t>
      </w:r>
      <w:r w:rsidR="005D790F">
        <w:t xml:space="preserve"> </w:t>
      </w:r>
      <w:r w:rsidR="00AC6980">
        <w:t>hiervoor</w:t>
      </w:r>
      <w:r w:rsidR="005D790F">
        <w:t xml:space="preserve"> e</w:t>
      </w:r>
      <w:r w:rsidR="00AC6980">
        <w:t>e</w:t>
      </w:r>
      <w:r w:rsidR="005D790F">
        <w:t>n thuiswerkvergoedi</w:t>
      </w:r>
      <w:r w:rsidR="00AC6980">
        <w:t>ng</w:t>
      </w:r>
      <w:r w:rsidR="005D790F">
        <w:t xml:space="preserve"> ontvangen die gelijk is aan het op dat </w:t>
      </w:r>
      <w:r w:rsidR="007F630B">
        <w:t>moment</w:t>
      </w:r>
      <w:r w:rsidR="005D790F">
        <w:t xml:space="preserve"> ge</w:t>
      </w:r>
      <w:r w:rsidR="007F630B">
        <w:t xml:space="preserve">ldend </w:t>
      </w:r>
      <w:r w:rsidR="005D790F">
        <w:t xml:space="preserve"> fiscaal maximaal </w:t>
      </w:r>
      <w:r w:rsidR="007F630B">
        <w:t>toegestane</w:t>
      </w:r>
      <w:r w:rsidR="005D790F">
        <w:t xml:space="preserve"> bedrag voor thuiswerken. </w:t>
      </w:r>
    </w:p>
    <w:p w14:paraId="2DFD2CDD" w14:textId="77777777" w:rsidR="006E1253" w:rsidRPr="00A5163C" w:rsidRDefault="006E1253" w:rsidP="007F630B">
      <w:pPr>
        <w:pStyle w:val="Lijstalinea"/>
      </w:pPr>
    </w:p>
    <w:p w14:paraId="32D91057" w14:textId="77777777" w:rsidR="006E1253" w:rsidRPr="00A5163C" w:rsidRDefault="006E1253" w:rsidP="007F630B">
      <w:pPr>
        <w:ind w:left="720"/>
      </w:pPr>
    </w:p>
    <w:p w14:paraId="38C5C1F2" w14:textId="77777777" w:rsidR="00A5163C" w:rsidRPr="00A5163C" w:rsidRDefault="00A5163C" w:rsidP="00A5163C">
      <w:pPr>
        <w:rPr>
          <w:u w:val="single"/>
        </w:rPr>
      </w:pPr>
    </w:p>
    <w:p w14:paraId="15AE24F4" w14:textId="77777777" w:rsidR="00A5163C" w:rsidRPr="00A5163C" w:rsidRDefault="00A5163C" w:rsidP="00A5163C">
      <w:pPr>
        <w:rPr>
          <w:u w:val="single"/>
        </w:rPr>
      </w:pPr>
      <w:r w:rsidRPr="00A5163C">
        <w:rPr>
          <w:u w:val="single"/>
        </w:rPr>
        <w:lastRenderedPageBreak/>
        <w:t>In het</w:t>
      </w:r>
      <w:r w:rsidRPr="00A5163C">
        <w:rPr>
          <w:b/>
          <w:bCs/>
          <w:u w:val="single"/>
        </w:rPr>
        <w:t xml:space="preserve"> onderhandelaarsakkoord</w:t>
      </w:r>
      <w:r w:rsidRPr="00A5163C">
        <w:rPr>
          <w:u w:val="single"/>
        </w:rPr>
        <w:t xml:space="preserve"> wordt opgenomen: </w:t>
      </w:r>
    </w:p>
    <w:p w14:paraId="30744867" w14:textId="701D44EC" w:rsidR="00C32C5A" w:rsidRPr="00A5163C" w:rsidRDefault="00C32C5A" w:rsidP="00C32C5A">
      <w:pPr>
        <w:pStyle w:val="Lijstalinea"/>
        <w:numPr>
          <w:ilvl w:val="0"/>
          <w:numId w:val="2"/>
        </w:numPr>
      </w:pPr>
      <w:r>
        <w:t xml:space="preserve">Dat </w:t>
      </w:r>
      <w:r w:rsidRPr="00A5163C">
        <w:t>Cao partijen willen dat de bijdrage vanuit de SFA aan CAO partijen wordt verhoogd tot EUR 10.000 per vakbond per jaar en tot EUR 30.000 per jaar aan de BNA. Het besluit daartoe moet genomen worden door het AB van het SFA, waarbij de middelen van de SFA voldoende toereikend moeten zijn.</w:t>
      </w:r>
    </w:p>
    <w:p w14:paraId="3DF5CD3A" w14:textId="77777777" w:rsidR="00A5163C" w:rsidRPr="00A5163C" w:rsidRDefault="00A5163C" w:rsidP="00A5163C">
      <w:pPr>
        <w:numPr>
          <w:ilvl w:val="0"/>
          <w:numId w:val="2"/>
        </w:numPr>
      </w:pPr>
      <w:r w:rsidRPr="00A5163C">
        <w:t xml:space="preserve">Dat werknemersorganisaties contact opnemen met de SFA indien hen toegang tot bepaalde architectenbureaus zou worden geweigerd. </w:t>
      </w:r>
    </w:p>
    <w:p w14:paraId="19CEFE5E" w14:textId="77777777" w:rsidR="00A5163C" w:rsidRPr="00A5163C" w:rsidRDefault="00A5163C" w:rsidP="00A5163C">
      <w:pPr>
        <w:numPr>
          <w:ilvl w:val="0"/>
          <w:numId w:val="2"/>
        </w:numPr>
      </w:pPr>
      <w:r w:rsidRPr="00A5163C">
        <w:t xml:space="preserve">Dat de bonden meer aandacht voor werkdruk in de branche willen. SFA speelt een actieve rol om bureaus te faciliteren en te ondersteunen op het gebied van de omgang met hoge werkdruk. SFA heeft een sectoranalyse laten uitvoeren in 2021 waarin  werd bevestigd dat  de werkdruk in de branche als hoog wordt ervaren. SFA heeft daar MDIEU activiteiten op afgestemd. Partijen spreken een inspanningsverplichting af om daarop voort te borduren, zo mogelijk richting implementatie. </w:t>
      </w:r>
    </w:p>
    <w:p w14:paraId="6D408BF6" w14:textId="77777777" w:rsidR="000E0DBC" w:rsidRDefault="00A5163C" w:rsidP="00A5163C">
      <w:pPr>
        <w:numPr>
          <w:ilvl w:val="0"/>
          <w:numId w:val="2"/>
        </w:numPr>
      </w:pPr>
      <w:r w:rsidRPr="00A5163C">
        <w:t>Dat uitvoering zal worden  gegeven aan de in 2023 gemaakte protocolafspraak “</w:t>
      </w:r>
      <w:r w:rsidRPr="00A5163C">
        <w:rPr>
          <w:i/>
          <w:iCs/>
        </w:rPr>
        <w:t>Partijen willen dat buitenlandse werknemers die in Nederland werkzaam zijn voor maximaal 3 jaar kunnen worden vrijgesteld van de verplichting om deel te nemen aan de pensioenregeling in Nederland. Deze vrijstelling kan op verzoek van de werknemer met de werkgever worden overeengekomen. Het deel werkgeverspremie komt dan ten goede aan de werknemer.</w:t>
      </w:r>
      <w:r w:rsidRPr="00A5163C">
        <w:t xml:space="preserve">” </w:t>
      </w:r>
    </w:p>
    <w:p w14:paraId="35011CE3" w14:textId="1C218C3A" w:rsidR="00A5163C" w:rsidRPr="00A5163C" w:rsidRDefault="00A5163C" w:rsidP="00B027A5">
      <w:pPr>
        <w:ind w:left="720"/>
      </w:pPr>
      <w:r w:rsidRPr="00A5163C">
        <w:t xml:space="preserve">Concreet is hierover afgesproken dat </w:t>
      </w:r>
      <w:r w:rsidR="00B027A5">
        <w:t xml:space="preserve">SFA </w:t>
      </w:r>
      <w:r w:rsidR="00C64D26">
        <w:t>het bestuur van het Pensioenfonds zal informeren over dit besluit van cao partijen</w:t>
      </w:r>
      <w:r w:rsidR="00DE496B">
        <w:t xml:space="preserve">, met het </w:t>
      </w:r>
      <w:r w:rsidR="0042560E">
        <w:t>verzoek</w:t>
      </w:r>
      <w:r w:rsidR="00DE496B">
        <w:t xml:space="preserve"> aan PFAB om de </w:t>
      </w:r>
      <w:r w:rsidR="0042560E">
        <w:t>nodige</w:t>
      </w:r>
      <w:r w:rsidR="00DE496B">
        <w:t xml:space="preserve"> stappen te zetten om dit besluit van cao partijen </w:t>
      </w:r>
      <w:r w:rsidR="0042560E">
        <w:t>uit</w:t>
      </w:r>
      <w:r w:rsidR="00DE496B">
        <w:t xml:space="preserve"> te voeren</w:t>
      </w:r>
      <w:r w:rsidR="000F4C9D">
        <w:t xml:space="preserve">, </w:t>
      </w:r>
      <w:r w:rsidR="0042560E">
        <w:t>ervan uitgaand</w:t>
      </w:r>
      <w:r w:rsidR="000F4C9D">
        <w:t xml:space="preserve"> </w:t>
      </w:r>
      <w:r w:rsidR="0042560E">
        <w:t>dat d</w:t>
      </w:r>
      <w:r w:rsidR="000F4C9D">
        <w:t xml:space="preserve">it juridisch en </w:t>
      </w:r>
      <w:r w:rsidR="0042560E">
        <w:t>praktisch</w:t>
      </w:r>
      <w:r w:rsidR="000F4C9D">
        <w:t xml:space="preserve"> mogelijk is. Mocht dit juridisch en/of praktisch op problemen stuiten, </w:t>
      </w:r>
      <w:r w:rsidR="0042560E">
        <w:t>d</w:t>
      </w:r>
      <w:r w:rsidR="000F4C9D">
        <w:t xml:space="preserve">an </w:t>
      </w:r>
      <w:r w:rsidR="0042560E">
        <w:t>zal PFAB schriftelijk moeten onderbouwen wat de belemmeringen zijn en of en hoe deze kunne</w:t>
      </w:r>
      <w:r w:rsidR="00645CE1">
        <w:t>n</w:t>
      </w:r>
      <w:r w:rsidR="0042560E">
        <w:t xml:space="preserve"> worden opgeheven. </w:t>
      </w:r>
    </w:p>
    <w:p w14:paraId="06BE07E9" w14:textId="77777777" w:rsidR="00A5163C" w:rsidRDefault="00A5163C" w:rsidP="00A5163C">
      <w:pPr>
        <w:rPr>
          <w:u w:val="single"/>
        </w:rPr>
      </w:pPr>
    </w:p>
    <w:p w14:paraId="3739660A" w14:textId="1868C19D" w:rsidR="00645CE1" w:rsidRPr="00A5163C" w:rsidRDefault="00645CE1" w:rsidP="00A5163C">
      <w:pPr>
        <w:rPr>
          <w:u w:val="single"/>
        </w:rPr>
      </w:pPr>
    </w:p>
    <w:sectPr w:rsidR="00645CE1" w:rsidRPr="00A51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2F49"/>
    <w:multiLevelType w:val="hybridMultilevel"/>
    <w:tmpl w:val="2B466984"/>
    <w:lvl w:ilvl="0" w:tplc="BD389972">
      <w:start w:val="8"/>
      <w:numFmt w:val="bullet"/>
      <w:lvlText w:val=""/>
      <w:lvlJc w:val="left"/>
      <w:pPr>
        <w:ind w:left="720" w:hanging="360"/>
      </w:pPr>
      <w:rPr>
        <w:rFonts w:ascii="Symbol" w:eastAsia="Times New Roman"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33653D0"/>
    <w:multiLevelType w:val="hybridMultilevel"/>
    <w:tmpl w:val="9F8EA1E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8634FEE"/>
    <w:multiLevelType w:val="hybridMultilevel"/>
    <w:tmpl w:val="9F8EA1E8"/>
    <w:lvl w:ilvl="0" w:tplc="F0D6FE8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2668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560551">
    <w:abstractNumId w:val="0"/>
  </w:num>
  <w:num w:numId="3" w16cid:durableId="821000883">
    <w:abstractNumId w:val="2"/>
  </w:num>
  <w:num w:numId="4" w16cid:durableId="26824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3C"/>
    <w:rsid w:val="00071BE0"/>
    <w:rsid w:val="00087F56"/>
    <w:rsid w:val="00097EB7"/>
    <w:rsid w:val="000E0DBC"/>
    <w:rsid w:val="000F4C9D"/>
    <w:rsid w:val="001F0131"/>
    <w:rsid w:val="002143DA"/>
    <w:rsid w:val="0042560E"/>
    <w:rsid w:val="00493FC9"/>
    <w:rsid w:val="005D790F"/>
    <w:rsid w:val="00645CE1"/>
    <w:rsid w:val="006D5EB9"/>
    <w:rsid w:val="006E1253"/>
    <w:rsid w:val="00747EBB"/>
    <w:rsid w:val="00794FD2"/>
    <w:rsid w:val="007F630B"/>
    <w:rsid w:val="008469A0"/>
    <w:rsid w:val="00A5163C"/>
    <w:rsid w:val="00AC3877"/>
    <w:rsid w:val="00AC6980"/>
    <w:rsid w:val="00AD7F72"/>
    <w:rsid w:val="00B027A5"/>
    <w:rsid w:val="00B11FB0"/>
    <w:rsid w:val="00B379DA"/>
    <w:rsid w:val="00B43A3C"/>
    <w:rsid w:val="00B60EA8"/>
    <w:rsid w:val="00BC51A6"/>
    <w:rsid w:val="00C32C5A"/>
    <w:rsid w:val="00C64D26"/>
    <w:rsid w:val="00CA4B4A"/>
    <w:rsid w:val="00CD7F4D"/>
    <w:rsid w:val="00D41BAA"/>
    <w:rsid w:val="00DB0533"/>
    <w:rsid w:val="00DE496B"/>
    <w:rsid w:val="00E12401"/>
    <w:rsid w:val="00E405F9"/>
    <w:rsid w:val="00FF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DDD1"/>
  <w15:chartTrackingRefBased/>
  <w15:docId w15:val="{9B1BA0F3-338C-4F1E-BFE8-2E5C0ED3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253"/>
  </w:style>
  <w:style w:type="paragraph" w:styleId="Kop1">
    <w:name w:val="heading 1"/>
    <w:basedOn w:val="Standaard"/>
    <w:next w:val="Standaard"/>
    <w:link w:val="Kop1Char"/>
    <w:uiPriority w:val="9"/>
    <w:qFormat/>
    <w:rsid w:val="00A51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6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6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6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6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6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6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6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6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6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6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6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6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6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6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6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63C"/>
    <w:rPr>
      <w:rFonts w:eastAsiaTheme="majorEastAsia" w:cstheme="majorBidi"/>
      <w:color w:val="272727" w:themeColor="text1" w:themeTint="D8"/>
    </w:rPr>
  </w:style>
  <w:style w:type="paragraph" w:styleId="Titel">
    <w:name w:val="Title"/>
    <w:basedOn w:val="Standaard"/>
    <w:next w:val="Standaard"/>
    <w:link w:val="TitelChar"/>
    <w:uiPriority w:val="10"/>
    <w:qFormat/>
    <w:rsid w:val="00A5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6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6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6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6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63C"/>
    <w:rPr>
      <w:i/>
      <w:iCs/>
      <w:color w:val="404040" w:themeColor="text1" w:themeTint="BF"/>
    </w:rPr>
  </w:style>
  <w:style w:type="paragraph" w:styleId="Lijstalinea">
    <w:name w:val="List Paragraph"/>
    <w:basedOn w:val="Standaard"/>
    <w:uiPriority w:val="34"/>
    <w:qFormat/>
    <w:rsid w:val="00A5163C"/>
    <w:pPr>
      <w:ind w:left="720"/>
      <w:contextualSpacing/>
    </w:pPr>
  </w:style>
  <w:style w:type="character" w:styleId="Intensievebenadrukking">
    <w:name w:val="Intense Emphasis"/>
    <w:basedOn w:val="Standaardalinea-lettertype"/>
    <w:uiPriority w:val="21"/>
    <w:qFormat/>
    <w:rsid w:val="00A5163C"/>
    <w:rPr>
      <w:i/>
      <w:iCs/>
      <w:color w:val="0F4761" w:themeColor="accent1" w:themeShade="BF"/>
    </w:rPr>
  </w:style>
  <w:style w:type="paragraph" w:styleId="Duidelijkcitaat">
    <w:name w:val="Intense Quote"/>
    <w:basedOn w:val="Standaard"/>
    <w:next w:val="Standaard"/>
    <w:link w:val="DuidelijkcitaatChar"/>
    <w:uiPriority w:val="30"/>
    <w:qFormat/>
    <w:rsid w:val="00A51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63C"/>
    <w:rPr>
      <w:i/>
      <w:iCs/>
      <w:color w:val="0F4761" w:themeColor="accent1" w:themeShade="BF"/>
    </w:rPr>
  </w:style>
  <w:style w:type="character" w:styleId="Intensieveverwijzing">
    <w:name w:val="Intense Reference"/>
    <w:basedOn w:val="Standaardalinea-lettertype"/>
    <w:uiPriority w:val="32"/>
    <w:qFormat/>
    <w:rsid w:val="00A51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121">
      <w:bodyDiv w:val="1"/>
      <w:marLeft w:val="0"/>
      <w:marRight w:val="0"/>
      <w:marTop w:val="0"/>
      <w:marBottom w:val="0"/>
      <w:divBdr>
        <w:top w:val="none" w:sz="0" w:space="0" w:color="auto"/>
        <w:left w:val="none" w:sz="0" w:space="0" w:color="auto"/>
        <w:bottom w:val="none" w:sz="0" w:space="0" w:color="auto"/>
        <w:right w:val="none" w:sz="0" w:space="0" w:color="auto"/>
      </w:divBdr>
    </w:div>
    <w:div w:id="16795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696</Words>
  <Characters>3828</Characters>
  <Application>Microsoft Office Word</Application>
  <DocSecurity>4</DocSecurity>
  <Lines>31</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Berenschot</dc:creator>
  <cp:keywords/>
  <dc:description/>
  <cp:lastModifiedBy>Jerry Pique</cp:lastModifiedBy>
  <cp:revision>2</cp:revision>
  <dcterms:created xsi:type="dcterms:W3CDTF">2025-01-27T11:33:00Z</dcterms:created>
  <dcterms:modified xsi:type="dcterms:W3CDTF">2025-01-27T11:33:00Z</dcterms:modified>
</cp:coreProperties>
</file>